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附件2：</w:t>
      </w:r>
    </w:p>
    <w:p>
      <w:pPr>
        <w:numPr>
          <w:ilvl w:val="0"/>
          <w:numId w:val="0"/>
        </w:numPr>
        <w:ind w:firstLine="3080" w:firstLineChars="700"/>
        <w:jc w:val="both"/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val="en-US" w:eastAsia="zh-CN"/>
        </w:rPr>
        <w:t>附件材料说明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、评选成果的技术创新证明材料：应提供与评选成果相对应的国家发明专利、实用新型专利、软件著作权、新药证书（批准文件）、动植物新品种、国家和行业技术标准（规范）、公开发表的论文、科技成果鉴定、评价或科技计划项目验收证书等，至少提供一项证明材料；</w:t>
      </w:r>
    </w:p>
    <w:p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、评选成果应用满一年以上的佐证材料：应至少提供一份能证明本成果已实施应用一年以上（2019年10月31日之前应用）的客观佐证材料关键页，如用户报告、销售或服务合同等。应用单位出具的相应说明或证明可作为佐证材料，须加盖应用单位公章；</w:t>
      </w:r>
    </w:p>
    <w:p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、评选成果的效益佐证材料：应提供支持效益数据成立的客观佐证材料，如到账凭证或所在单位财务部门出具的相关证明，需加盖所在单位财务章。如无经济效益，应提供支持社会效益、生态效益成立的客观佐证材料；</w:t>
      </w:r>
    </w:p>
    <w:p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4、评选成果的其他证明材料：如有其它重要证明材料，可提供作为其他证明材料；</w:t>
      </w:r>
    </w:p>
    <w:p>
      <w:pPr>
        <w:numPr>
          <w:ilvl w:val="0"/>
          <w:numId w:val="0"/>
        </w:numPr>
        <w:ind w:firstLine="640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F4AA5"/>
    <w:rsid w:val="599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2020-11-04T06:49:00Z</dcterms:created>
  <dc:creator>y</dc:creator>
  <cp:lastModifiedBy>y</cp:lastModifiedBy>
  <dcterms:modified xsi:type="dcterms:W3CDTF">2020-11-04T06:50:11Z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